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510164</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 accuracy enhancement</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 xml:space="preserve">The </w:t>
      </w:r>
      <w:r>
        <w:rPr>
          <w:rFonts w:hint="eastAsia" w:ascii="Times New Roman" w:hAnsi="Times New Roman"/>
          <w:sz w:val="20"/>
          <w:szCs w:val="20"/>
          <w:lang w:val="en-US" w:eastAsia="zh-CN"/>
        </w:rPr>
        <w:t xml:space="preserve">related </w:t>
      </w:r>
      <w:r>
        <w:rPr>
          <w:rFonts w:ascii="Times New Roman" w:hAnsi="Times New Roman"/>
          <w:sz w:val="20"/>
          <w:szCs w:val="20"/>
        </w:rPr>
        <w:t>objectives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43462263">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Positioning accuracy enhancements, encompassing [RAN1/RAN2/RAN3]:</w:t>
            </w:r>
          </w:p>
          <w:p w14:paraId="15DC6D1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Direct AI/ML positioning:</w:t>
            </w:r>
          </w:p>
          <w:p w14:paraId="6B494076">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1: </w:t>
            </w:r>
            <w:r>
              <w:rPr>
                <w:rFonts w:hint="default" w:ascii="Times New Roman" w:hAnsi="Times New Roman" w:cs="Times New Roman"/>
                <w:sz w:val="20"/>
                <w:szCs w:val="20"/>
              </w:rPr>
              <w:t>UE-based positioning with UE-side model, direct AI/ML positioning</w:t>
            </w:r>
          </w:p>
          <w:p w14:paraId="7BDC2844">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2b: </w:t>
            </w:r>
            <w:r>
              <w:rPr>
                <w:rFonts w:hint="default" w:ascii="Times New Roman" w:hAnsi="Times New Roman" w:cs="Times New Roman"/>
                <w:sz w:val="20"/>
                <w:szCs w:val="20"/>
              </w:rPr>
              <w:t>UE-assisted/LMF-based positioning with LMF-side model, direct AI/ML positioning</w:t>
            </w:r>
          </w:p>
          <w:p w14:paraId="3FAB9B4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3b:</w:t>
            </w:r>
            <w:r>
              <w:rPr>
                <w:rFonts w:hint="default" w:ascii="Times New Roman" w:hAnsi="Times New Roman" w:cs="Times New Roman"/>
                <w:sz w:val="20"/>
                <w:szCs w:val="20"/>
              </w:rPr>
              <w:t xml:space="preserve"> NG-RAN node assisted positioning with LMF-side model, direct AI/ML positioning</w:t>
            </w:r>
          </w:p>
          <w:p w14:paraId="49DB225B">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AI/ML assisted positioning </w:t>
            </w:r>
            <w:r>
              <w:rPr>
                <w:rFonts w:hint="default" w:ascii="Times New Roman" w:hAnsi="Times New Roman" w:cs="Times New Roman"/>
                <w:bCs/>
                <w:sz w:val="20"/>
                <w:szCs w:val="20"/>
              </w:rPr>
              <w:tab/>
            </w:r>
            <w:r>
              <w:rPr>
                <w:rFonts w:hint="default" w:ascii="Times New Roman" w:hAnsi="Times New Roman" w:cs="Times New Roman"/>
                <w:bCs/>
                <w:sz w:val="20"/>
                <w:szCs w:val="20"/>
              </w:rPr>
              <w:tab/>
            </w:r>
            <w:r>
              <w:rPr>
                <w:rFonts w:hint="default" w:ascii="Times New Roman" w:hAnsi="Times New Roman" w:cs="Times New Roman"/>
                <w:bCs/>
                <w:sz w:val="20"/>
                <w:szCs w:val="20"/>
              </w:rPr>
              <w:t xml:space="preserve"> </w:t>
            </w:r>
          </w:p>
          <w:p w14:paraId="0E84C7E6">
            <w:pPr>
              <w:numPr>
                <w:ilvl w:val="2"/>
                <w:numId w:val="4"/>
              </w:numPr>
              <w:spacing w:after="0"/>
              <w:rPr>
                <w:rFonts w:hint="default" w:ascii="Times New Roman" w:hAnsi="Times New Roman" w:cs="Times New Roman"/>
                <w:bCs/>
                <w:color w:val="BFBFBF"/>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2a: </w:t>
            </w:r>
            <w:r>
              <w:rPr>
                <w:rFonts w:hint="default" w:ascii="Times New Roman" w:hAnsi="Times New Roman" w:cs="Times New Roman"/>
                <w:sz w:val="20"/>
                <w:szCs w:val="20"/>
              </w:rPr>
              <w:t>UE-assisted/LMF-based positioning with UE-side model, AI/ML assisted positioning</w:t>
            </w:r>
            <w:r>
              <w:rPr>
                <w:rFonts w:hint="default" w:ascii="Times New Roman" w:hAnsi="Times New Roman" w:cs="Times New Roman"/>
                <w:bCs/>
                <w:color w:val="BFBFBF"/>
                <w:sz w:val="20"/>
                <w:szCs w:val="20"/>
              </w:rPr>
              <w:tab/>
            </w:r>
          </w:p>
          <w:p w14:paraId="021F025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3a: </w:t>
            </w:r>
            <w:r>
              <w:rPr>
                <w:rFonts w:hint="default" w:ascii="Times New Roman" w:hAnsi="Times New Roman" w:cs="Times New Roman"/>
                <w:sz w:val="20"/>
                <w:szCs w:val="20"/>
              </w:rPr>
              <w:t>NG-RAN node assisted positioning with gNB-side model, AI/ML assisted positioning</w:t>
            </w:r>
          </w:p>
          <w:p w14:paraId="4628B73D">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measurements, signalling/mechanism(s) to facilitate LCM operations specific to the Positioning accuracy enhancements use cases, if any</w:t>
            </w:r>
          </w:p>
          <w:p w14:paraId="49DF7FA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Investigate and specify the necessary signalling of necessary measurement enhancements (if any)</w:t>
            </w:r>
          </w:p>
          <w:p w14:paraId="1A8B4DEA">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Enabling method(s) to ensure consistency between training and inference regarding NW-side additional conditions (if identified) for inference at UE for relevant positioning sub use cases</w:t>
            </w:r>
          </w:p>
          <w:p w14:paraId="607688E2">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RAN1 will not discuss any proposals targeting 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issues in Q4 of 2024.</w:t>
            </w:r>
          </w:p>
          <w:p w14:paraId="06277C74">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1B320D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9EF4F2C">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RRM </w:t>
      </w:r>
      <w:r>
        <w:rPr>
          <w:rFonts w:hint="eastAsia" w:ascii="Times New Roman" w:hAnsi="Times New Roman"/>
          <w:sz w:val="20"/>
          <w:szCs w:val="20"/>
          <w:lang w:val="en-US" w:eastAsia="zh-CN"/>
        </w:rPr>
        <w:t xml:space="preserve">core </w:t>
      </w:r>
      <w:r>
        <w:rPr>
          <w:rFonts w:hint="eastAsia" w:ascii="Times New Roman" w:hAnsi="Times New Roman"/>
          <w:sz w:val="20"/>
          <w:szCs w:val="20"/>
        </w:rPr>
        <w:t>requirements for positioning</w:t>
      </w:r>
      <w:r>
        <w:rPr>
          <w:rFonts w:hint="eastAsia" w:ascii="Times New Roman" w:hAnsi="Times New Roman"/>
          <w:sz w:val="20"/>
          <w:szCs w:val="20"/>
          <w:lang w:val="en-US" w:eastAsia="zh-CN"/>
        </w:rPr>
        <w:t xml:space="preserve"> accuracy enhancement</w:t>
      </w:r>
      <w:r>
        <w:rPr>
          <w:rFonts w:hint="eastAsia" w:ascii="Times New Roman" w:hAnsi="Times New Roman"/>
          <w:sz w:val="20"/>
          <w:szCs w:val="20"/>
        </w:rPr>
        <w:t>.</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81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6A547ED">
            <w:pPr>
              <w:rPr>
                <w:rFonts w:hint="default" w:ascii="Times New Roman" w:hAnsi="Times New Roman" w:eastAsia="Yu Mincho"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 xml:space="preserve">-1: </w:t>
            </w:r>
            <w:r>
              <w:rPr>
                <w:rFonts w:hint="default" w:ascii="Times New Roman" w:hAnsi="Times New Roman" w:eastAsia="Yu Mincho" w:cs="Times New Roman"/>
                <w:b/>
                <w:sz w:val="20"/>
                <w:szCs w:val="20"/>
                <w:u w:val="single"/>
                <w:lang w:eastAsia="ja-JP"/>
              </w:rPr>
              <w:t>Requirements for case 1</w:t>
            </w:r>
          </w:p>
          <w:p w14:paraId="77D969A2">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Agreement: </w:t>
            </w:r>
          </w:p>
          <w:p w14:paraId="36682673">
            <w:pPr>
              <w:pStyle w:val="15"/>
              <w:numPr>
                <w:ilvl w:val="0"/>
                <w:numId w:val="5"/>
              </w:numPr>
              <w:overflowPunct w:val="0"/>
              <w:autoSpaceDE w:val="0"/>
              <w:autoSpaceDN w:val="0"/>
              <w:adjustRightInd w:val="0"/>
              <w:spacing w:after="120"/>
              <w:ind w:left="993" w:firstLineChars="0"/>
              <w:contextualSpacing/>
              <w:textAlignment w:val="baseline"/>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Discuss how to define a measurement delay requirement(reporting delay)</w:t>
            </w:r>
          </w:p>
          <w:p w14:paraId="63183ECF">
            <w:pPr>
              <w:pStyle w:val="15"/>
              <w:numPr>
                <w:ilvl w:val="0"/>
                <w:numId w:val="5"/>
              </w:numPr>
              <w:overflowPunct w:val="0"/>
              <w:autoSpaceDE w:val="0"/>
              <w:autoSpaceDN w:val="0"/>
              <w:adjustRightInd w:val="0"/>
              <w:spacing w:after="120"/>
              <w:ind w:left="993" w:firstLineChars="0"/>
              <w:contextualSpacing/>
              <w:textAlignment w:val="baseline"/>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Do not define any positioning accuracy requirement</w:t>
            </w:r>
          </w:p>
          <w:p w14:paraId="52D57230">
            <w:pPr>
              <w:pStyle w:val="15"/>
              <w:numPr>
                <w:ilvl w:val="0"/>
                <w:numId w:val="0"/>
              </w:numPr>
              <w:overflowPunct w:val="0"/>
              <w:autoSpaceDE w:val="0"/>
              <w:autoSpaceDN w:val="0"/>
              <w:adjustRightInd w:val="0"/>
              <w:contextualSpacing/>
              <w:textAlignment w:val="baseline"/>
              <w:rPr>
                <w:rFonts w:hint="default" w:ascii="Times New Roman" w:hAnsi="Times New Roman" w:eastAsia="等线" w:cs="Times New Roman"/>
                <w:bCs/>
                <w:iCs/>
                <w:sz w:val="20"/>
                <w:szCs w:val="20"/>
                <w:vertAlign w:val="baseline"/>
                <w:lang w:val="en-US" w:eastAsia="zh-CN"/>
              </w:rPr>
            </w:pPr>
          </w:p>
        </w:tc>
      </w:tr>
    </w:tbl>
    <w:p w14:paraId="5CE8B03E">
      <w:pPr>
        <w:spacing w:after="180" w:line="240" w:lineRule="exact"/>
        <w:rPr>
          <w:rFonts w:hint="eastAsia" w:ascii="Times New Roman" w:hAnsi="Times New Roman" w:eastAsia="等线" w:cs="Times New Roman"/>
          <w:bCs/>
          <w:iCs/>
          <w:sz w:val="20"/>
          <w:szCs w:val="20"/>
          <w:lang w:val="en-US" w:eastAsia="zh-CN"/>
        </w:rPr>
      </w:pPr>
    </w:p>
    <w:p w14:paraId="0EED6C66">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beam management, it was agreed in RAN4 #113 meeting that prediction delay includes measurement for prediction, inference delay, and FFS for other components. Similarly, prediction delay need to be defined for case 1 when LMF request the results of the UE sided model inference operation. The prediction delay at least include PRS measurement for prediction, inference delay. As for the report delay, whether and how to consider it can be further discussed.</w:t>
      </w:r>
    </w:p>
    <w:p w14:paraId="559FA0E6">
      <w:pPr>
        <w:spacing w:after="180" w:line="240" w:lineRule="exact"/>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Apart from inference delay, monitoring delay can also be considered. For </w:t>
      </w:r>
      <w:r>
        <w:rPr>
          <w:rFonts w:hint="default" w:ascii="Times New Roman" w:hAnsi="Times New Roman" w:cs="Times New Roman"/>
          <w:sz w:val="20"/>
          <w:szCs w:val="20"/>
        </w:rPr>
        <w:t>model performance monitoring of AI/ML positioning Case 1</w:t>
      </w:r>
      <w:r>
        <w:rPr>
          <w:rFonts w:hint="eastAsia" w:ascii="Times New Roman" w:hAnsi="Times New Roman" w:cs="Times New Roman"/>
          <w:sz w:val="20"/>
          <w:szCs w:val="20"/>
          <w:lang w:val="en-US" w:eastAsia="zh-CN"/>
        </w:rPr>
        <w:t xml:space="preserve">, RAN1 agreed that target UE </w:t>
      </w:r>
      <w:r>
        <w:rPr>
          <w:rFonts w:hint="default" w:ascii="Times New Roman" w:hAnsi="Times New Roman" w:cs="Times New Roman"/>
          <w:sz w:val="20"/>
          <w:szCs w:val="20"/>
        </w:rPr>
        <w:t>side performs monitoring metric calculation</w:t>
      </w:r>
      <w:r>
        <w:rPr>
          <w:rFonts w:hint="eastAsia" w:ascii="Times New Roman" w:hAnsi="Times New Roman" w:cs="Times New Roman"/>
          <w:sz w:val="20"/>
          <w:szCs w:val="20"/>
          <w:lang w:val="en-US" w:eastAsia="zh-CN"/>
        </w:rPr>
        <w:t xml:space="preserve"> is supported, and the target UE </w:t>
      </w:r>
      <w:r>
        <w:rPr>
          <w:rFonts w:hint="default" w:ascii="Times New Roman" w:hAnsi="Times New Roman" w:eastAsia="等线" w:cs="Times New Roman"/>
          <w:sz w:val="20"/>
          <w:szCs w:val="20"/>
          <w:lang w:eastAsia="zh-CN"/>
        </w:rPr>
        <w:t>may</w:t>
      </w:r>
      <w:r>
        <w:rPr>
          <w:rFonts w:hint="default" w:ascii="Times New Roman" w:hAnsi="Times New Roman" w:cs="Times New Roman"/>
          <w:sz w:val="20"/>
          <w:szCs w:val="20"/>
        </w:rPr>
        <w:t xml:space="preserve"> signal the monitoring outcome to the LMF</w:t>
      </w:r>
      <w:r>
        <w:rPr>
          <w:rFonts w:hint="eastAsia" w:ascii="Times New Roman" w:hAnsi="Times New Roman" w:cs="Times New Roman"/>
          <w:sz w:val="20"/>
          <w:szCs w:val="20"/>
          <w:lang w:val="en-US" w:eastAsia="zh-CN"/>
        </w:rPr>
        <w:t xml:space="preserve">. Whether monitoring related requirements need to be defined can be further discussed.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94A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5A9EEE6">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agreements in RAN1#119 meeting</w:t>
            </w:r>
          </w:p>
          <w:p w14:paraId="3A7014C0">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94C3A93">
            <w:pPr>
              <w:rPr>
                <w:rFonts w:hint="default" w:ascii="Times New Roman" w:hAnsi="Times New Roman" w:cs="Times New Roman"/>
                <w:sz w:val="20"/>
                <w:szCs w:val="20"/>
              </w:rPr>
            </w:pPr>
            <w:r>
              <w:rPr>
                <w:rFonts w:hint="default" w:ascii="Times New Roman" w:hAnsi="Times New Roman" w:cs="Times New Roman"/>
                <w:sz w:val="20"/>
                <w:szCs w:val="20"/>
              </w:rPr>
              <w:t xml:space="preserve">For model performance monitoring of AI/ML positioning Case 1, support at least: </w:t>
            </w:r>
          </w:p>
          <w:p w14:paraId="75D51925">
            <w:pPr>
              <w:widowControl w:val="0"/>
              <w:numPr>
                <w:ilvl w:val="0"/>
                <w:numId w:val="6"/>
              </w:numPr>
              <w:tabs>
                <w:tab w:val="left" w:pos="0"/>
                <w:tab w:val="clear" w:pos="-360"/>
              </w:tabs>
              <w:suppressAutoHyphens/>
              <w:spacing w:after="80"/>
              <w:ind w:left="720"/>
              <w:rPr>
                <w:rFonts w:hint="default" w:ascii="Times New Roman" w:hAnsi="Times New Roman" w:cs="Times New Roman"/>
                <w:sz w:val="20"/>
                <w:szCs w:val="20"/>
              </w:rPr>
            </w:pPr>
            <w:r>
              <w:rPr>
                <w:rFonts w:hint="default" w:ascii="Times New Roman" w:hAnsi="Times New Roman" w:cs="Times New Roman"/>
                <w:sz w:val="20"/>
                <w:szCs w:val="20"/>
              </w:rPr>
              <w:t xml:space="preserve">Option A. The target UE side performs monitoring metric calculation. </w:t>
            </w:r>
          </w:p>
          <w:p w14:paraId="44A15E02">
            <w:pPr>
              <w:widowControl w:val="0"/>
              <w:numPr>
                <w:ilvl w:val="1"/>
                <w:numId w:val="6"/>
              </w:numPr>
              <w:tabs>
                <w:tab w:val="left" w:pos="0"/>
                <w:tab w:val="clear" w:pos="-360"/>
              </w:tabs>
              <w:suppressAutoHyphens/>
              <w:spacing w:after="80"/>
              <w:ind w:left="1440"/>
              <w:rPr>
                <w:rFonts w:hint="default" w:ascii="Times New Roman" w:hAnsi="Times New Roman" w:cs="Times New Roman"/>
                <w:sz w:val="20"/>
                <w:szCs w:val="20"/>
              </w:rPr>
            </w:pPr>
            <w:r>
              <w:rPr>
                <w:rFonts w:hint="default" w:ascii="Times New Roman" w:hAnsi="Times New Roman" w:cs="Times New Roman"/>
                <w:sz w:val="20"/>
                <w:szCs w:val="20"/>
              </w:rPr>
              <w:t xml:space="preserve">The target UE </w:t>
            </w:r>
            <w:r>
              <w:rPr>
                <w:rFonts w:hint="default" w:ascii="Times New Roman" w:hAnsi="Times New Roman" w:eastAsia="等线" w:cs="Times New Roman"/>
                <w:sz w:val="20"/>
                <w:szCs w:val="20"/>
                <w:lang w:eastAsia="zh-CN"/>
              </w:rPr>
              <w:t>may</w:t>
            </w:r>
            <w:r>
              <w:rPr>
                <w:rFonts w:hint="default" w:ascii="Times New Roman" w:hAnsi="Times New Roman" w:cs="Times New Roman"/>
                <w:sz w:val="20"/>
                <w:szCs w:val="20"/>
              </w:rPr>
              <w:t xml:space="preserve"> signal the monitoring outcome to the LMF. </w:t>
            </w:r>
          </w:p>
          <w:p w14:paraId="68C1CCD4">
            <w:pPr>
              <w:widowControl w:val="0"/>
              <w:numPr>
                <w:ilvl w:val="1"/>
                <w:numId w:val="6"/>
              </w:numPr>
              <w:tabs>
                <w:tab w:val="left" w:pos="0"/>
                <w:tab w:val="clear" w:pos="-360"/>
              </w:tabs>
              <w:suppressAutoHyphens/>
              <w:spacing w:after="80"/>
              <w:ind w:left="1440"/>
              <w:rPr>
                <w:rFonts w:hint="default" w:ascii="Times New Roman" w:hAnsi="Times New Roman" w:cs="Times New Roman"/>
                <w:sz w:val="20"/>
                <w:szCs w:val="20"/>
              </w:rPr>
            </w:pPr>
            <w:r>
              <w:rPr>
                <w:rFonts w:hint="default" w:ascii="Times New Roman" w:hAnsi="Times New Roman" w:cs="Times New Roman"/>
                <w:sz w:val="20"/>
                <w:szCs w:val="20"/>
              </w:rPr>
              <w:t>FFS: content of monitoring outcome</w:t>
            </w:r>
          </w:p>
          <w:p w14:paraId="7BC758FB">
            <w:pPr>
              <w:widowControl w:val="0"/>
              <w:numPr>
                <w:ilvl w:val="0"/>
                <w:numId w:val="6"/>
              </w:numPr>
              <w:tabs>
                <w:tab w:val="left" w:pos="0"/>
                <w:tab w:val="clear" w:pos="-360"/>
              </w:tabs>
              <w:suppressAutoHyphens/>
              <w:spacing w:after="80"/>
              <w:ind w:left="7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FFS: Option B</w:t>
            </w:r>
          </w:p>
          <w:p w14:paraId="572CE2C4">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RAN1 agreements in RAN1#120bis meeting</w:t>
            </w:r>
          </w:p>
          <w:p w14:paraId="490D72F7">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Agreement</w:t>
            </w:r>
          </w:p>
          <w:p w14:paraId="324D89FA">
            <w:pPr>
              <w:suppressAutoHyphens/>
              <w:spacing w:after="80"/>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“FFS: content of monitoring outcome” in RAN1#119 agreement is resolved by:</w:t>
            </w:r>
          </w:p>
          <w:p w14:paraId="538013F6">
            <w:pPr>
              <w:widowControl w:val="0"/>
              <w:numPr>
                <w:ilvl w:val="0"/>
                <w:numId w:val="7"/>
              </w:numPr>
              <w:tabs>
                <w:tab w:val="left" w:pos="0"/>
                <w:tab w:val="left" w:pos="720"/>
              </w:tabs>
              <w:suppressAutoHyphens/>
              <w:spacing w:after="8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the content of monitoring outcome includes at least an indication that the target UE cannot perform the Case 1 positioning method.</w:t>
            </w:r>
          </w:p>
        </w:tc>
      </w:tr>
    </w:tbl>
    <w:p w14:paraId="4ED736D6">
      <w:pPr>
        <w:spacing w:after="180" w:line="240" w:lineRule="exact"/>
        <w:rPr>
          <w:rFonts w:hint="eastAsia" w:ascii="Times New Roman" w:hAnsi="Times New Roman" w:eastAsia="等线" w:cs="Times New Roman"/>
          <w:bCs/>
          <w:iCs/>
          <w:sz w:val="20"/>
          <w:szCs w:val="20"/>
          <w:lang w:val="en-US" w:eastAsia="zh-CN"/>
        </w:rPr>
      </w:pPr>
    </w:p>
    <w:p w14:paraId="1636D3F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LCM, RAN2 agreed that for UE-sided model, for the functionality management, the “network decision, network-initiated” AI/ML management is supported as a baseline. It means that there is interaction between network and UE, e.g. activation, deactivation, etc.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532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4CC5B91">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RAN2#129bis meeting</w:t>
            </w:r>
          </w:p>
          <w:p w14:paraId="44B5934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for positioning case 1</w:t>
            </w:r>
          </w:p>
          <w:p w14:paraId="1D5FD83C">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LMF is responsible for functionality management</w:t>
            </w:r>
          </w:p>
          <w:p w14:paraId="0A715926">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UE reports the applicable functionality to the LMF by the LPP provide capabilities message without any additional LMF control.</w:t>
            </w:r>
          </w:p>
          <w:p w14:paraId="1E7CD272">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Switching/fallback to non-AI/ML positioning can be supported by including multiple positioning methods in a LPP Request Location Information message. No additional specification work is foreseen specifically for supporting "switching/fallback operation".</w:t>
            </w:r>
          </w:p>
          <w:p w14:paraId="14F23068">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cyan"/>
                <w:vertAlign w:val="baseline"/>
                <w:lang w:val="en-US" w:eastAsia="zh-CN"/>
              </w:rPr>
              <w:t>An AIML positioning functionality is considered “activated” once UE receives an LPP RequestLocationInformation from the LMF requesting inferred location information</w:t>
            </w:r>
            <w:r>
              <w:rPr>
                <w:rFonts w:hint="default" w:ascii="Times New Roman" w:hAnsi="Times New Roman" w:eastAsia="等线" w:cs="Times New Roman"/>
                <w:bCs/>
                <w:iCs/>
                <w:sz w:val="20"/>
                <w:szCs w:val="20"/>
                <w:vertAlign w:val="baseline"/>
                <w:lang w:val="en-US" w:eastAsia="zh-CN"/>
              </w:rPr>
              <w:t>.</w:t>
            </w:r>
          </w:p>
          <w:p w14:paraId="0FBF20FA">
            <w:pPr>
              <w:numPr>
                <w:ilvl w:val="0"/>
                <w:numId w:val="8"/>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triggered and periodical reporting, we rely on existing positioning framework mechanisms to deactivate AI/ML positioning (no spec impact is foreseen)</w:t>
            </w:r>
          </w:p>
          <w:p w14:paraId="68633EAB">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RAN2#127 meeting</w:t>
            </w:r>
          </w:p>
          <w:p w14:paraId="65624D9D">
            <w:pPr>
              <w:numPr>
                <w:ilvl w:val="0"/>
                <w:numId w:val="0"/>
              </w:numPr>
              <w:spacing w:after="180" w:line="240" w:lineRule="exact"/>
              <w:ind w:left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Supported functionalities refer to functionalities that UE can indicate by using UE capability information (via RRC/LPP signalling)</w:t>
            </w:r>
          </w:p>
          <w:p w14:paraId="480E5104">
            <w:pPr>
              <w:numPr>
                <w:ilvl w:val="0"/>
                <w:numId w:val="0"/>
              </w:numPr>
              <w:spacing w:after="180" w:line="240" w:lineRule="exact"/>
              <w:ind w:left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Applicable functionalities refers to functionalities that the UE is ready to apply for inference</w:t>
            </w:r>
          </w:p>
          <w:p w14:paraId="4E9ED09D">
            <w:pPr>
              <w:numPr>
                <w:ilvl w:val="0"/>
                <w:numId w:val="0"/>
              </w:numPr>
              <w:spacing w:after="180" w:line="240" w:lineRule="exact"/>
              <w:ind w:left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Activated functionalities refers to functionalities already enabled for performing inference</w:t>
            </w:r>
          </w:p>
        </w:tc>
      </w:tr>
    </w:tbl>
    <w:p w14:paraId="0CE0960B">
      <w:pPr>
        <w:spacing w:after="180" w:line="240" w:lineRule="exact"/>
        <w:rPr>
          <w:rFonts w:hint="default" w:ascii="Times New Roman" w:hAnsi="Times New Roman" w:eastAsia="等线" w:cs="Times New Roman"/>
          <w:bCs/>
          <w:iCs/>
          <w:sz w:val="20"/>
          <w:szCs w:val="20"/>
          <w:lang w:val="en-US" w:eastAsia="zh-CN"/>
        </w:rPr>
      </w:pPr>
    </w:p>
    <w:p w14:paraId="2412EEC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last meeting, it was agreed to define activation delay requirements for the periodic, semi-persistent and aperiodic CSI reporting for beam prediction. Since RAN2 agreed that an AIML positioning functionality is considered “activated” once UE receives an LPP RequestLocationInformation from the LMF requesting inferred location information. It can be considered to define activation delay for case 1.</w:t>
      </w:r>
    </w:p>
    <w:p w14:paraId="0CC14DF8">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38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2EE5559">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 xml:space="preserve">-2: Report mapping for sample based timing measurement reporting </w:t>
            </w:r>
          </w:p>
          <w:p w14:paraId="6388A881">
            <w:pPr>
              <w:spacing w:after="120"/>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Agreement:</w:t>
            </w:r>
          </w:p>
          <w:p w14:paraId="73C7CA04">
            <w:pPr>
              <w:pStyle w:val="15"/>
              <w:numPr>
                <w:ilvl w:val="1"/>
                <w:numId w:val="9"/>
              </w:numPr>
              <w:overflowPunct w:val="0"/>
              <w:autoSpaceDE w:val="0"/>
              <w:autoSpaceDN w:val="0"/>
              <w:adjustRightInd w:val="0"/>
              <w:spacing w:after="120"/>
              <w:ind w:firstLineChars="0"/>
              <w:contextualSpacing/>
              <w:textAlignment w:val="baseline"/>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Use the value of the legacy UL RTOA mapping for 1</w:t>
            </w:r>
            <w:r>
              <w:rPr>
                <w:rFonts w:hint="default" w:ascii="Times New Roman" w:hAnsi="Times New Roman" w:cs="Times New Roman"/>
                <w:sz w:val="20"/>
                <w:szCs w:val="20"/>
                <w:vertAlign w:val="superscript"/>
                <w:lang w:eastAsia="ja-JP"/>
              </w:rPr>
              <w:t>st</w:t>
            </w:r>
            <w:r>
              <w:rPr>
                <w:rFonts w:hint="default" w:ascii="Times New Roman" w:hAnsi="Times New Roman" w:cs="Times New Roman"/>
                <w:sz w:val="20"/>
                <w:szCs w:val="20"/>
                <w:lang w:eastAsia="ja-JP"/>
              </w:rPr>
              <w:t xml:space="preserve"> sample</w:t>
            </w:r>
          </w:p>
          <w:p w14:paraId="7623EACA">
            <w:pPr>
              <w:pStyle w:val="15"/>
              <w:numPr>
                <w:ilvl w:val="1"/>
                <w:numId w:val="9"/>
              </w:numPr>
              <w:overflowPunct w:val="0"/>
              <w:autoSpaceDE w:val="0"/>
              <w:autoSpaceDN w:val="0"/>
              <w:adjustRightInd w:val="0"/>
              <w:spacing w:after="120"/>
              <w:ind w:firstLineChars="0"/>
              <w:contextualSpacing/>
              <w:textAlignment w:val="baseline"/>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FFS for the additional sample reporting</w:t>
            </w:r>
          </w:p>
          <w:p w14:paraId="5506AE66">
            <w:pPr>
              <w:rPr>
                <w:rFonts w:hint="default" w:ascii="Times New Roman" w:hAnsi="Times New Roman" w:eastAsia="Yu Mincho" w:cs="Times New Roman"/>
                <w:sz w:val="20"/>
                <w:szCs w:val="20"/>
                <w:lang w:eastAsia="ja-JP"/>
              </w:rPr>
            </w:pPr>
          </w:p>
          <w:p w14:paraId="7AD05EB2">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Yu Mincho" w:cs="Times New Roman"/>
                <w:b/>
                <w:sz w:val="20"/>
                <w:szCs w:val="20"/>
                <w:u w:val="single"/>
                <w:lang w:eastAsia="ja-JP"/>
              </w:rPr>
              <w:t>Requirements for case 3b</w:t>
            </w:r>
          </w:p>
          <w:p w14:paraId="081F6D48">
            <w:pPr>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Agreement:</w:t>
            </w:r>
          </w:p>
          <w:p w14:paraId="0A722ECB">
            <w:pPr>
              <w:pStyle w:val="15"/>
              <w:numPr>
                <w:ilvl w:val="0"/>
                <w:numId w:val="9"/>
              </w:numPr>
              <w:overflowPunct w:val="0"/>
              <w:autoSpaceDE w:val="0"/>
              <w:autoSpaceDN w:val="0"/>
              <w:adjustRightInd w:val="0"/>
              <w:ind w:left="567" w:hanging="141" w:firstLineChars="0"/>
              <w:contextualSpacing/>
              <w:textAlignment w:val="baseline"/>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Reuse legacy path based Rx-Tx accuracy requirements for case 3b</w:t>
            </w:r>
          </w:p>
          <w:p w14:paraId="59406B49">
            <w:pPr>
              <w:pStyle w:val="15"/>
              <w:numPr>
                <w:ilvl w:val="0"/>
                <w:numId w:val="9"/>
              </w:numPr>
              <w:overflowPunct w:val="0"/>
              <w:autoSpaceDE w:val="0"/>
              <w:autoSpaceDN w:val="0"/>
              <w:adjustRightInd w:val="0"/>
              <w:ind w:left="567" w:hanging="141" w:firstLineChars="0"/>
              <w:contextualSpacing/>
              <w:textAlignment w:val="baseline"/>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ja-JP"/>
              </w:rPr>
              <w:t>Requirement applies only for the 1st path</w:t>
            </w:r>
          </w:p>
        </w:tc>
      </w:tr>
    </w:tbl>
    <w:p w14:paraId="225DE211">
      <w:pPr>
        <w:spacing w:after="180" w:line="240" w:lineRule="exact"/>
        <w:rPr>
          <w:rFonts w:hint="eastAsia" w:ascii="Times New Roman" w:hAnsi="Times New Roman" w:eastAsia="等线" w:cs="Times New Roman"/>
          <w:bCs/>
          <w:iCs/>
          <w:sz w:val="20"/>
          <w:szCs w:val="20"/>
          <w:lang w:val="en-US" w:eastAsia="zh-CN"/>
        </w:rPr>
      </w:pPr>
    </w:p>
    <w:p w14:paraId="3F8C863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Case 3a is NG-RAN node assisted positioning with gNB-side model (AI/ML assisted positioning). For case 3a/3b, the agreements reached in RAN4 previous meetings are summarized in following table.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EA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7DB64D">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RAN4#112bis (R4-2417212)</w:t>
            </w:r>
          </w:p>
          <w:p w14:paraId="170F529D">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3-</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Report applicability for existing reported metrics</w:t>
            </w:r>
          </w:p>
          <w:p w14:paraId="170F529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r>
              <w:rPr>
                <w:rFonts w:hint="default" w:ascii="Times New Roman" w:hAnsi="Times New Roman" w:cs="Times New Roman"/>
                <w:sz w:val="20"/>
                <w:szCs w:val="20"/>
                <w:lang w:eastAsia="zh-CN"/>
              </w:rPr>
              <w:t xml:space="preserve"> </w:t>
            </w:r>
          </w:p>
          <w:p w14:paraId="170F529F">
            <w:pPr>
              <w:spacing w:after="120"/>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lang w:eastAsia="zh-CN"/>
              </w:rPr>
              <w:t>Extend applicability of existing report mappings for UL-RToA and UL SRS-RSRPP to report UL measurements for AI/ML based positioning use cases</w:t>
            </w:r>
            <w:r>
              <w:rPr>
                <w:rFonts w:hint="default" w:ascii="Times New Roman" w:hAnsi="Times New Roman" w:cs="Times New Roman"/>
                <w:sz w:val="20"/>
                <w:szCs w:val="20"/>
                <w:lang w:val="sv-SE" w:eastAsia="zh-CN"/>
              </w:rPr>
              <w:t xml:space="preserve"> 3a/3b</w:t>
            </w:r>
            <w:r>
              <w:rPr>
                <w:rFonts w:hint="default" w:ascii="Times New Roman" w:hAnsi="Times New Roman" w:cs="Times New Roman"/>
                <w:sz w:val="20"/>
                <w:szCs w:val="20"/>
                <w:lang w:eastAsia="zh-CN"/>
              </w:rPr>
              <w:t>.</w:t>
            </w:r>
          </w:p>
          <w:p w14:paraId="4BBEA90C">
            <w:pPr>
              <w:spacing w:after="180" w:line="240" w:lineRule="exact"/>
              <w:rPr>
                <w:rFonts w:hint="default" w:ascii="Times New Roman" w:hAnsi="Times New Roman" w:eastAsia="等线" w:cs="Times New Roman"/>
                <w:bCs/>
                <w:iCs/>
                <w:sz w:val="20"/>
                <w:szCs w:val="20"/>
                <w:vertAlign w:val="baseline"/>
                <w:lang w:val="en-US" w:eastAsia="zh-CN"/>
              </w:rPr>
            </w:pPr>
          </w:p>
          <w:p w14:paraId="07835378">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RAN4#114 (R4-2502856)</w:t>
            </w:r>
          </w:p>
          <w:p w14:paraId="0F822B44">
            <w:pPr>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rPr>
              <w:t xml:space="preserve">-4: </w:t>
            </w:r>
            <w:r>
              <w:rPr>
                <w:rFonts w:hint="default" w:ascii="Times New Roman" w:hAnsi="Times New Roman" w:eastAsia="Yu Mincho" w:cs="Times New Roman"/>
                <w:b/>
                <w:sz w:val="20"/>
                <w:szCs w:val="20"/>
                <w:u w:val="single"/>
                <w:lang w:eastAsia="ja-JP"/>
              </w:rPr>
              <w:t>Report mapping for UL SRS-RSRP</w:t>
            </w:r>
          </w:p>
          <w:p w14:paraId="0FC29491">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Agreement: </w:t>
            </w:r>
          </w:p>
          <w:p w14:paraId="36CA2F61">
            <w:pPr>
              <w:pStyle w:val="15"/>
              <w:numPr>
                <w:ilvl w:val="0"/>
                <w:numId w:val="10"/>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Reuse the report mapping for UL SRS-RSRP to Case 3a</w:t>
            </w:r>
          </w:p>
          <w:p w14:paraId="20DAFC3D">
            <w:pPr>
              <w:spacing w:after="180" w:line="240" w:lineRule="exact"/>
              <w:rPr>
                <w:rFonts w:hint="default" w:ascii="Times New Roman" w:hAnsi="Times New Roman" w:eastAsia="等线" w:cs="Times New Roman"/>
                <w:bCs/>
                <w:iCs/>
                <w:sz w:val="20"/>
                <w:szCs w:val="20"/>
                <w:vertAlign w:val="baseline"/>
                <w:lang w:val="en-US" w:eastAsia="zh-CN"/>
              </w:rPr>
            </w:pPr>
          </w:p>
          <w:p w14:paraId="24D7D399">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RAN4#114bis (R4-2505105)</w:t>
            </w:r>
          </w:p>
          <w:p w14:paraId="0560169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游明朝" w:cs="Times New Roman"/>
                <w:b/>
                <w:sz w:val="20"/>
                <w:szCs w:val="20"/>
                <w:u w:val="single"/>
                <w:lang w:eastAsia="ja-JP"/>
              </w:rPr>
              <w:t>Rx-Tx time difference for case 3a</w:t>
            </w:r>
          </w:p>
          <w:p w14:paraId="7562DA2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6C58A16C">
            <w:pPr>
              <w:pStyle w:val="15"/>
              <w:numPr>
                <w:ilvl w:val="0"/>
                <w:numId w:val="11"/>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Introduce gNB Rx-Tx time difference reporting accuracy requirements</w:t>
            </w:r>
          </w:p>
          <w:p w14:paraId="1F35AB8A">
            <w:pPr>
              <w:pStyle w:val="15"/>
              <w:numPr>
                <w:ilvl w:val="2"/>
                <w:numId w:val="12"/>
              </w:numPr>
              <w:spacing w:after="120"/>
              <w:ind w:left="851"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Reuse legacy accuracy requirements</w:t>
            </w:r>
          </w:p>
          <w:p w14:paraId="509487DD">
            <w:pPr>
              <w:rPr>
                <w:rFonts w:hint="default" w:ascii="Times New Roman" w:hAnsi="Times New Roman" w:cs="Times New Roman" w:eastAsiaTheme="minorEastAsia"/>
                <w:sz w:val="20"/>
                <w:szCs w:val="20"/>
                <w:lang w:eastAsia="ja-JP"/>
              </w:rPr>
            </w:pPr>
          </w:p>
          <w:p w14:paraId="270BCFC9">
            <w:pPr>
              <w:rPr>
                <w:rFonts w:hint="default" w:ascii="Times New Roman" w:hAnsi="Times New Roman" w:cs="Times New Roman" w:eastAsiaTheme="minorEastAsia"/>
                <w:sz w:val="20"/>
                <w:szCs w:val="20"/>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-4: </w:t>
            </w:r>
            <w:r>
              <w:rPr>
                <w:rFonts w:hint="default" w:ascii="Times New Roman" w:hAnsi="Times New Roman" w:eastAsia="游明朝" w:cs="Times New Roman"/>
                <w:b/>
                <w:sz w:val="20"/>
                <w:szCs w:val="20"/>
                <w:u w:val="single"/>
                <w:lang w:eastAsia="ja-JP"/>
              </w:rPr>
              <w:t>Report mapping for gNB Rx-Tx time difference</w:t>
            </w:r>
          </w:p>
          <w:p w14:paraId="55BFDB7E">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0729DE49">
            <w:pPr>
              <w:pStyle w:val="15"/>
              <w:numPr>
                <w:ilvl w:val="0"/>
                <w:numId w:val="11"/>
              </w:numPr>
              <w:overflowPunct w:val="0"/>
              <w:autoSpaceDE w:val="0"/>
              <w:autoSpaceDN w:val="0"/>
              <w:adjustRightInd w:val="0"/>
              <w:spacing w:after="120"/>
              <w:ind w:left="426"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Reuse the existing report mapping for gNB Rx-Tx time difference measurements</w:t>
            </w:r>
          </w:p>
          <w:p w14:paraId="0BBA2095">
            <w:pPr>
              <w:spacing w:after="180" w:line="240" w:lineRule="exact"/>
              <w:rPr>
                <w:rFonts w:hint="default" w:ascii="Times New Roman" w:hAnsi="Times New Roman" w:eastAsia="等线" w:cs="Times New Roman"/>
                <w:b/>
                <w:bCs w:val="0"/>
                <w:iCs/>
                <w:sz w:val="20"/>
                <w:szCs w:val="20"/>
                <w:highlight w:val="green"/>
                <w:vertAlign w:val="baseline"/>
                <w:lang w:val="en-US" w:eastAsia="zh-CN"/>
              </w:rPr>
            </w:pPr>
          </w:p>
          <w:p w14:paraId="44DBF8DE">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highlight w:val="green"/>
                <w:vertAlign w:val="baseline"/>
                <w:lang w:val="en-US" w:eastAsia="zh-CN"/>
              </w:rPr>
              <w:t>Agreements in RAN4#115 (R4-2508080)</w:t>
            </w:r>
          </w:p>
          <w:p w14:paraId="71134AC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Yu Mincho" w:cs="Times New Roman"/>
                <w:b/>
                <w:sz w:val="20"/>
                <w:szCs w:val="20"/>
                <w:u w:val="single"/>
                <w:lang w:eastAsia="ja-JP"/>
              </w:rPr>
              <w:t>3</w:t>
            </w:r>
            <w:r>
              <w:rPr>
                <w:rFonts w:hint="default" w:ascii="Times New Roman" w:hAnsi="Times New Roman" w:cs="Times New Roman"/>
                <w:b/>
                <w:sz w:val="20"/>
                <w:szCs w:val="20"/>
                <w:u w:val="single"/>
                <w:lang w:eastAsia="ko-KR"/>
              </w:rPr>
              <w:t xml:space="preserve">-3: </w:t>
            </w:r>
            <w:r>
              <w:rPr>
                <w:rFonts w:hint="default" w:ascii="Times New Roman" w:hAnsi="Times New Roman" w:eastAsia="Yu Mincho" w:cs="Times New Roman"/>
                <w:b/>
                <w:sz w:val="20"/>
                <w:szCs w:val="20"/>
                <w:u w:val="single"/>
                <w:lang w:eastAsia="ja-JP"/>
              </w:rPr>
              <w:t>Requirements for case 3b</w:t>
            </w:r>
          </w:p>
          <w:p w14:paraId="33B60CD5">
            <w:pPr>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Agreement:</w:t>
            </w:r>
          </w:p>
          <w:p w14:paraId="4E674520">
            <w:pPr>
              <w:pStyle w:val="15"/>
              <w:numPr>
                <w:ilvl w:val="0"/>
                <w:numId w:val="9"/>
              </w:numPr>
              <w:overflowPunct w:val="0"/>
              <w:autoSpaceDE w:val="0"/>
              <w:autoSpaceDN w:val="0"/>
              <w:adjustRightInd w:val="0"/>
              <w:ind w:left="567" w:hanging="141" w:firstLineChars="0"/>
              <w:contextualSpacing/>
              <w:textAlignment w:val="baseline"/>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Reuse legacy path based Rx-Tx accuracy requirements for case 3b</w:t>
            </w:r>
          </w:p>
          <w:p w14:paraId="4FC4A85B">
            <w:pPr>
              <w:pStyle w:val="15"/>
              <w:numPr>
                <w:ilvl w:val="0"/>
                <w:numId w:val="9"/>
              </w:numPr>
              <w:overflowPunct w:val="0"/>
              <w:autoSpaceDE w:val="0"/>
              <w:autoSpaceDN w:val="0"/>
              <w:adjustRightInd w:val="0"/>
              <w:ind w:left="567" w:hanging="141" w:firstLineChars="0"/>
              <w:contextualSpacing/>
              <w:textAlignment w:val="baseline"/>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Requirement applies only for the 1</w:t>
            </w:r>
            <w:r>
              <w:rPr>
                <w:rFonts w:hint="default" w:ascii="Times New Roman" w:hAnsi="Times New Roman" w:cs="Times New Roman"/>
                <w:sz w:val="20"/>
                <w:szCs w:val="20"/>
                <w:vertAlign w:val="superscript"/>
                <w:lang w:val="en-US" w:eastAsia="ja-JP"/>
              </w:rPr>
              <w:t>st</w:t>
            </w:r>
            <w:r>
              <w:rPr>
                <w:rFonts w:hint="default" w:ascii="Times New Roman" w:hAnsi="Times New Roman" w:cs="Times New Roman"/>
                <w:sz w:val="20"/>
                <w:szCs w:val="20"/>
                <w:lang w:val="en-US" w:eastAsia="ja-JP"/>
              </w:rPr>
              <w:t xml:space="preserve"> path</w:t>
            </w:r>
          </w:p>
          <w:p w14:paraId="74032BAF">
            <w:pPr>
              <w:pStyle w:val="15"/>
              <w:numPr>
                <w:ilvl w:val="0"/>
                <w:numId w:val="0"/>
              </w:numPr>
              <w:overflowPunct w:val="0"/>
              <w:autoSpaceDE w:val="0"/>
              <w:autoSpaceDN w:val="0"/>
              <w:adjustRightInd w:val="0"/>
              <w:spacing w:after="120"/>
              <w:textAlignment w:val="baseline"/>
              <w:rPr>
                <w:rFonts w:hint="default" w:ascii="Times New Roman" w:hAnsi="Times New Roman" w:eastAsia="等线" w:cs="Times New Roman"/>
                <w:bCs/>
                <w:iCs/>
                <w:sz w:val="20"/>
                <w:szCs w:val="20"/>
                <w:vertAlign w:val="baseline"/>
                <w:lang w:val="en-US" w:eastAsia="zh-CN"/>
              </w:rPr>
            </w:pPr>
          </w:p>
        </w:tc>
      </w:tr>
    </w:tbl>
    <w:p w14:paraId="61598E8C">
      <w:pPr>
        <w:spacing w:after="180" w:line="240" w:lineRule="exact"/>
        <w:rPr>
          <w:rFonts w:hint="default" w:ascii="Times New Roman" w:hAnsi="Times New Roman" w:eastAsia="等线" w:cs="Times New Roman"/>
          <w:bCs/>
          <w:iCs/>
          <w:sz w:val="20"/>
          <w:szCs w:val="20"/>
          <w:lang w:val="en-US" w:eastAsia="zh-CN"/>
        </w:rPr>
      </w:pPr>
    </w:p>
    <w:p w14:paraId="5F1F1FBF">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current TS38.133, measurement performance requirements for NR gNB include report mapping for UL-RTOA, report mapping for gNB Rx-Tx time difference, measurement accuracy requirements for gNB Rx-Tx time difference, report mapping for UL SRS RSRP, measurement accuracy requirements for UL SRS RSRP, report mapping for UL SRS RSRPP. It can be seen that RAN4 agreed to r</w:t>
      </w:r>
      <w:r>
        <w:rPr>
          <w:rFonts w:hint="default" w:ascii="Times New Roman" w:hAnsi="Times New Roman" w:eastAsia="Yu Mincho" w:cs="Times New Roman"/>
          <w:sz w:val="20"/>
          <w:szCs w:val="20"/>
          <w:lang w:eastAsia="ja-JP"/>
        </w:rPr>
        <w:t>euse the report mapping for UL SRS-RSRP to Case 3a</w:t>
      </w:r>
      <w:r>
        <w:rPr>
          <w:rFonts w:hint="eastAsia" w:ascii="Times New Roman" w:hAnsi="Times New Roman" w:eastAsia="宋体" w:cs="Times New Roman"/>
          <w:sz w:val="20"/>
          <w:szCs w:val="20"/>
          <w:lang w:val="en-US" w:eastAsia="zh-CN"/>
        </w:rPr>
        <w:t>,</w:t>
      </w:r>
      <w:r>
        <w:rPr>
          <w:rFonts w:hint="eastAsia" w:ascii="Times New Roman" w:hAnsi="Times New Roman" w:eastAsia="等线" w:cs="Times New Roman"/>
          <w:bCs/>
          <w:iCs/>
          <w:sz w:val="20"/>
          <w:szCs w:val="20"/>
          <w:lang w:val="en-US" w:eastAsia="zh-CN"/>
        </w:rPr>
        <w:t xml:space="preserve"> but measurement accuracy requirements for UL SRS RSRP is missing for case 3a. It is proposed that to reuse legacy UL SRS RSRP measurement accuracy requirements for case 3a. </w:t>
      </w:r>
    </w:p>
    <w:p w14:paraId="7F684ADD">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It is proposed to reuse legacy UL SRS RSRP measurement accuracy requirements for case 3a.</w:t>
      </w:r>
    </w:p>
    <w:p w14:paraId="435D9E24">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Case 3b is NG-RAN node assisted positioning with LMF-side model (direct AI/ML positioning). The model input is the gNB channel measurements reported to LMF. And our view is that legacy positioning related measurement requirements are still applied for the model input. </w:t>
      </w:r>
    </w:p>
    <w:p w14:paraId="4A4F34A0">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等线" w:cs="Times New Roman"/>
          <w:bCs/>
          <w:iCs/>
          <w:sz w:val="20"/>
          <w:szCs w:val="20"/>
          <w:lang w:val="en-US" w:eastAsia="zh-CN"/>
        </w:rPr>
        <w:t xml:space="preserve">In RAN4 #112bis, it was agreed that </w:t>
      </w:r>
      <w:r>
        <w:rPr>
          <w:rFonts w:hint="default" w:ascii="Times New Roman" w:hAnsi="Times New Roman" w:cs="Times New Roman"/>
          <w:sz w:val="20"/>
          <w:szCs w:val="20"/>
          <w:lang w:eastAsia="zh-CN"/>
        </w:rPr>
        <w:t xml:space="preserve">existing report mappings for UL-RToA and UL SRS-RSRPP </w:t>
      </w:r>
      <w:r>
        <w:rPr>
          <w:rFonts w:hint="eastAsia" w:ascii="Times New Roman" w:hAnsi="Times New Roman" w:cs="Times New Roman"/>
          <w:sz w:val="20"/>
          <w:szCs w:val="20"/>
          <w:lang w:val="en-US" w:eastAsia="zh-CN"/>
        </w:rPr>
        <w:t>are reused for</w:t>
      </w:r>
      <w:r>
        <w:rPr>
          <w:rFonts w:hint="default" w:ascii="Times New Roman" w:hAnsi="Times New Roman" w:cs="Times New Roman"/>
          <w:sz w:val="20"/>
          <w:szCs w:val="20"/>
          <w:lang w:eastAsia="zh-CN"/>
        </w:rPr>
        <w:t xml:space="preserve"> AI/ML based positioning use cases</w:t>
      </w:r>
      <w:r>
        <w:rPr>
          <w:rFonts w:hint="default" w:ascii="Times New Roman" w:hAnsi="Times New Roman" w:cs="Times New Roman"/>
          <w:sz w:val="20"/>
          <w:szCs w:val="20"/>
          <w:lang w:val="sv-SE" w:eastAsia="zh-CN"/>
        </w:rPr>
        <w:t xml:space="preserve"> 3b</w:t>
      </w:r>
      <w:r>
        <w:rPr>
          <w:rFonts w:hint="eastAsia" w:ascii="Times New Roman" w:hAnsi="Times New Roman" w:cs="Times New Roman"/>
          <w:sz w:val="20"/>
          <w:szCs w:val="20"/>
          <w:lang w:val="en-US" w:eastAsia="zh-CN"/>
        </w:rPr>
        <w:t xml:space="preserve">. </w:t>
      </w:r>
      <w:r>
        <w:rPr>
          <w:rFonts w:hint="eastAsia" w:ascii="Times New Roman" w:hAnsi="Times New Roman" w:eastAsia="等线" w:cs="Times New Roman"/>
          <w:bCs/>
          <w:iCs/>
          <w:sz w:val="20"/>
          <w:szCs w:val="20"/>
          <w:lang w:val="en-US" w:eastAsia="zh-CN"/>
        </w:rPr>
        <w:t xml:space="preserve">In last meeting, it was agreed to reuse legacy path based Rx-Tx accuracy requirements for case 3b. Similarly, legacy </w:t>
      </w:r>
      <w:r>
        <w:rPr>
          <w:rFonts w:hint="default" w:ascii="Times New Roman" w:hAnsi="Times New Roman" w:eastAsia="Yu Mincho" w:cs="Times New Roman"/>
          <w:sz w:val="20"/>
          <w:szCs w:val="20"/>
          <w:lang w:eastAsia="ja-JP"/>
        </w:rPr>
        <w:t>report mapping for UL SRS-RSRP</w:t>
      </w:r>
      <w:r>
        <w:rPr>
          <w:rFonts w:hint="eastAsia" w:ascii="Times New Roman" w:hAnsi="Times New Roman" w:eastAsia="宋体" w:cs="Times New Roman"/>
          <w:sz w:val="20"/>
          <w:szCs w:val="20"/>
          <w:lang w:val="en-US" w:eastAsia="zh-CN"/>
        </w:rPr>
        <w:t xml:space="preserve">, legacy </w:t>
      </w:r>
      <w:r>
        <w:rPr>
          <w:rFonts w:hint="default" w:ascii="Times New Roman" w:hAnsi="Times New Roman" w:eastAsia="游明朝" w:cs="Times New Roman"/>
          <w:sz w:val="20"/>
          <w:szCs w:val="20"/>
          <w:lang w:eastAsia="ja-JP"/>
        </w:rPr>
        <w:t>report mapping for gNB Rx-Tx time difference</w:t>
      </w:r>
      <w:r>
        <w:rPr>
          <w:rFonts w:hint="eastAsia" w:ascii="Times New Roman" w:hAnsi="Times New Roman" w:eastAsia="宋体" w:cs="Times New Roman"/>
          <w:sz w:val="20"/>
          <w:szCs w:val="20"/>
          <w:lang w:val="en-US" w:eastAsia="zh-CN"/>
        </w:rPr>
        <w:t xml:space="preserve">, and legacy </w:t>
      </w:r>
      <w:r>
        <w:rPr>
          <w:rFonts w:hint="eastAsia" w:ascii="Times New Roman" w:hAnsi="Times New Roman" w:eastAsia="等线" w:cs="Times New Roman"/>
          <w:bCs/>
          <w:iCs/>
          <w:sz w:val="20"/>
          <w:szCs w:val="20"/>
          <w:lang w:val="en-US" w:eastAsia="zh-CN"/>
        </w:rPr>
        <w:t>UL SRS RSRP measurement accuracy requirements</w:t>
      </w:r>
      <w:r>
        <w:rPr>
          <w:rFonts w:hint="eastAsia" w:ascii="Times New Roman" w:hAnsi="Times New Roman" w:eastAsia="宋体" w:cs="Times New Roman"/>
          <w:sz w:val="20"/>
          <w:szCs w:val="20"/>
          <w:lang w:val="en-US" w:eastAsia="zh-CN"/>
        </w:rPr>
        <w:t xml:space="preserve"> are reused for case 3b.</w:t>
      </w:r>
    </w:p>
    <w:p w14:paraId="433F68FF">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3: </w:t>
      </w:r>
      <w:r>
        <w:rPr>
          <w:rFonts w:hint="eastAsia" w:ascii="Times New Roman" w:hAnsi="Times New Roman" w:cs="Times New Roman"/>
          <w:b/>
          <w:bCs/>
          <w:i/>
          <w:iCs/>
          <w:sz w:val="20"/>
          <w:szCs w:val="20"/>
          <w:lang w:val="en-US" w:eastAsia="zh-CN"/>
        </w:rPr>
        <w:t xml:space="preserve">same as case 3a, </w:t>
      </w:r>
      <w:r>
        <w:rPr>
          <w:rFonts w:hint="eastAsia" w:ascii="Times New Roman" w:hAnsi="Times New Roman" w:eastAsia="宋体" w:cs="Times New Roman"/>
          <w:b/>
          <w:bCs/>
          <w:i/>
          <w:iCs/>
          <w:sz w:val="20"/>
          <w:szCs w:val="20"/>
          <w:lang w:val="en-US" w:eastAsia="zh-CN"/>
        </w:rPr>
        <w:t xml:space="preserve">it is proposed that </w:t>
      </w:r>
      <w:r>
        <w:rPr>
          <w:rFonts w:hint="eastAsia" w:ascii="Times New Roman" w:hAnsi="Times New Roman" w:eastAsia="等线" w:cs="Times New Roman"/>
          <w:b/>
          <w:bCs/>
          <w:i/>
          <w:iCs/>
          <w:sz w:val="20"/>
          <w:szCs w:val="20"/>
          <w:lang w:val="en-US" w:eastAsia="zh-CN"/>
        </w:rPr>
        <w:t xml:space="preserve">legacy </w:t>
      </w:r>
      <w:r>
        <w:rPr>
          <w:rFonts w:hint="default" w:ascii="Times New Roman" w:hAnsi="Times New Roman" w:eastAsia="Yu Mincho" w:cs="Times New Roman"/>
          <w:b/>
          <w:bCs/>
          <w:i/>
          <w:iCs/>
          <w:sz w:val="20"/>
          <w:szCs w:val="20"/>
          <w:lang w:eastAsia="ja-JP"/>
        </w:rPr>
        <w:t>report mapping for UL SRS-RSRP</w:t>
      </w:r>
      <w:r>
        <w:rPr>
          <w:rFonts w:hint="eastAsia" w:ascii="Times New Roman" w:hAnsi="Times New Roman" w:eastAsia="宋体" w:cs="Times New Roman"/>
          <w:b/>
          <w:bCs/>
          <w:i/>
          <w:iCs/>
          <w:sz w:val="20"/>
          <w:szCs w:val="20"/>
          <w:lang w:val="en-US" w:eastAsia="zh-CN"/>
        </w:rPr>
        <w:t xml:space="preserve">, legacy </w:t>
      </w:r>
      <w:r>
        <w:rPr>
          <w:rFonts w:hint="default" w:ascii="Times New Roman" w:hAnsi="Times New Roman" w:eastAsia="游明朝" w:cs="Times New Roman"/>
          <w:b/>
          <w:bCs/>
          <w:i/>
          <w:iCs/>
          <w:sz w:val="20"/>
          <w:szCs w:val="20"/>
          <w:lang w:eastAsia="ja-JP"/>
        </w:rPr>
        <w:t>report mapping for gNB Rx-Tx time difference</w:t>
      </w:r>
      <w:r>
        <w:rPr>
          <w:rFonts w:hint="eastAsia" w:ascii="Times New Roman" w:hAnsi="Times New Roman" w:eastAsia="宋体" w:cs="Times New Roman"/>
          <w:b/>
          <w:bCs/>
          <w:i/>
          <w:iCs/>
          <w:sz w:val="20"/>
          <w:szCs w:val="20"/>
          <w:lang w:val="en-US" w:eastAsia="zh-CN"/>
        </w:rPr>
        <w:t xml:space="preserve">, and legacy </w:t>
      </w:r>
      <w:r>
        <w:rPr>
          <w:rFonts w:hint="eastAsia" w:ascii="Times New Roman" w:hAnsi="Times New Roman" w:eastAsia="等线" w:cs="Times New Roman"/>
          <w:b/>
          <w:bCs/>
          <w:i/>
          <w:iCs/>
          <w:sz w:val="20"/>
          <w:szCs w:val="20"/>
          <w:lang w:val="en-US" w:eastAsia="zh-CN"/>
        </w:rPr>
        <w:t>UL SRS RSRP measurement accuracy requirements</w:t>
      </w:r>
      <w:r>
        <w:rPr>
          <w:rFonts w:hint="eastAsia" w:ascii="Times New Roman" w:hAnsi="Times New Roman" w:eastAsia="宋体" w:cs="Times New Roman"/>
          <w:b/>
          <w:bCs/>
          <w:i/>
          <w:iCs/>
          <w:sz w:val="20"/>
          <w:szCs w:val="20"/>
          <w:lang w:val="en-US" w:eastAsia="zh-CN"/>
        </w:rPr>
        <w:t xml:space="preserve"> are reused for case 3b</w:t>
      </w:r>
      <w:r>
        <w:rPr>
          <w:rFonts w:hint="eastAsia" w:ascii="Times New Roman" w:hAnsi="Times New Roman" w:cs="Times New Roman"/>
          <w:b/>
          <w:bCs/>
          <w:i/>
          <w:iCs/>
          <w:sz w:val="20"/>
          <w:szCs w:val="20"/>
          <w:lang w:val="en-US" w:eastAsia="zh-CN"/>
        </w:rPr>
        <w:t>.</w:t>
      </w: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4D613761">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p w14:paraId="39652A92">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It is proposed to reuse legacy UL SRS RSRP measurement accuracy requirements for case 3a.</w:t>
      </w:r>
    </w:p>
    <w:p w14:paraId="410871FC">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3: </w:t>
      </w:r>
      <w:r>
        <w:rPr>
          <w:rFonts w:hint="eastAsia" w:ascii="Times New Roman" w:hAnsi="Times New Roman" w:cs="Times New Roman"/>
          <w:b/>
          <w:bCs/>
          <w:i/>
          <w:iCs/>
          <w:sz w:val="20"/>
          <w:szCs w:val="20"/>
          <w:lang w:val="en-US" w:eastAsia="zh-CN"/>
        </w:rPr>
        <w:t xml:space="preserve">same as case 3a, </w:t>
      </w:r>
      <w:r>
        <w:rPr>
          <w:rFonts w:hint="eastAsia" w:ascii="Times New Roman" w:hAnsi="Times New Roman" w:eastAsia="宋体" w:cs="Times New Roman"/>
          <w:b/>
          <w:bCs/>
          <w:i/>
          <w:iCs/>
          <w:sz w:val="20"/>
          <w:szCs w:val="20"/>
          <w:lang w:val="en-US" w:eastAsia="zh-CN"/>
        </w:rPr>
        <w:t xml:space="preserve">it is proposed that </w:t>
      </w:r>
      <w:r>
        <w:rPr>
          <w:rFonts w:hint="eastAsia" w:ascii="Times New Roman" w:hAnsi="Times New Roman" w:eastAsia="等线" w:cs="Times New Roman"/>
          <w:b/>
          <w:bCs/>
          <w:i/>
          <w:iCs/>
          <w:sz w:val="20"/>
          <w:szCs w:val="20"/>
          <w:lang w:val="en-US" w:eastAsia="zh-CN"/>
        </w:rPr>
        <w:t xml:space="preserve">legacy </w:t>
      </w:r>
      <w:r>
        <w:rPr>
          <w:rFonts w:hint="default" w:ascii="Times New Roman" w:hAnsi="Times New Roman" w:eastAsia="Yu Mincho" w:cs="Times New Roman"/>
          <w:b/>
          <w:bCs/>
          <w:i/>
          <w:iCs/>
          <w:sz w:val="20"/>
          <w:szCs w:val="20"/>
          <w:lang w:eastAsia="ja-JP"/>
        </w:rPr>
        <w:t>report mapping for UL SRS-RSRP</w:t>
      </w:r>
      <w:r>
        <w:rPr>
          <w:rFonts w:hint="eastAsia" w:ascii="Times New Roman" w:hAnsi="Times New Roman" w:eastAsia="宋体" w:cs="Times New Roman"/>
          <w:b/>
          <w:bCs/>
          <w:i/>
          <w:iCs/>
          <w:sz w:val="20"/>
          <w:szCs w:val="20"/>
          <w:lang w:val="en-US" w:eastAsia="zh-CN"/>
        </w:rPr>
        <w:t xml:space="preserve">, legacy </w:t>
      </w:r>
      <w:r>
        <w:rPr>
          <w:rFonts w:hint="default" w:ascii="Times New Roman" w:hAnsi="Times New Roman" w:eastAsia="游明朝" w:cs="Times New Roman"/>
          <w:b/>
          <w:bCs/>
          <w:i/>
          <w:iCs/>
          <w:sz w:val="20"/>
          <w:szCs w:val="20"/>
          <w:lang w:eastAsia="ja-JP"/>
        </w:rPr>
        <w:t>report mapping for gNB Rx-Tx time difference</w:t>
      </w:r>
      <w:r>
        <w:rPr>
          <w:rFonts w:hint="eastAsia" w:ascii="Times New Roman" w:hAnsi="Times New Roman" w:eastAsia="宋体" w:cs="Times New Roman"/>
          <w:b/>
          <w:bCs/>
          <w:i/>
          <w:iCs/>
          <w:sz w:val="20"/>
          <w:szCs w:val="20"/>
          <w:lang w:val="en-US" w:eastAsia="zh-CN"/>
        </w:rPr>
        <w:t xml:space="preserve">, and legacy </w:t>
      </w:r>
      <w:r>
        <w:rPr>
          <w:rFonts w:hint="eastAsia" w:ascii="Times New Roman" w:hAnsi="Times New Roman" w:eastAsia="等线" w:cs="Times New Roman"/>
          <w:b/>
          <w:bCs/>
          <w:i/>
          <w:iCs/>
          <w:sz w:val="20"/>
          <w:szCs w:val="20"/>
          <w:lang w:val="en-US" w:eastAsia="zh-CN"/>
        </w:rPr>
        <w:t>UL SRS RSRP measurement accuracy requirements</w:t>
      </w:r>
      <w:r>
        <w:rPr>
          <w:rFonts w:hint="eastAsia" w:ascii="Times New Roman" w:hAnsi="Times New Roman" w:eastAsia="宋体" w:cs="Times New Roman"/>
          <w:b/>
          <w:bCs/>
          <w:i/>
          <w:iCs/>
          <w:sz w:val="20"/>
          <w:szCs w:val="20"/>
          <w:lang w:val="en-US" w:eastAsia="zh-CN"/>
        </w:rPr>
        <w:t xml:space="preserve"> are reused for case 3b</w:t>
      </w:r>
      <w:r>
        <w:rPr>
          <w:rFonts w:hint="eastAsia" w:ascii="Times New Roman" w:hAnsi="Times New Roman" w:cs="Times New Roman"/>
          <w:b/>
          <w:bCs/>
          <w:i/>
          <w:iCs/>
          <w:sz w:val="20"/>
          <w:szCs w:val="20"/>
          <w:lang w:val="en-US" w:eastAsia="zh-CN"/>
        </w:rPr>
        <w:t>.</w:t>
      </w:r>
    </w:p>
    <w:p w14:paraId="202A418C">
      <w:pPr>
        <w:tabs>
          <w:tab w:val="left" w:pos="1134"/>
        </w:tabs>
        <w:spacing w:after="180" w:line="240" w:lineRule="exact"/>
        <w:rPr>
          <w:rFonts w:hint="eastAsia" w:ascii="Times New Roman" w:hAnsi="Times New Roman"/>
          <w:sz w:val="20"/>
          <w:szCs w:val="20"/>
        </w:rPr>
      </w:pPr>
      <w:bookmarkStart w:id="6" w:name="_GoBack"/>
      <w:bookmarkEnd w:id="6"/>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197CD7A5">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7F827E88">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03D960E2">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the requirements for AI/ML air interfance, Qualcomm Incorporated</w:t>
      </w:r>
    </w:p>
    <w:p w14:paraId="4B1FD71B">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4401E20B">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624C76E4">
      <w:pPr>
        <w:pStyle w:val="17"/>
        <w:framePr w:wrap="auto" w:vAnchor="margin" w:hAnchor="text" w:yAlign="inline"/>
        <w:numPr>
          <w:ilvl w:val="0"/>
          <w:numId w:val="13"/>
        </w:numPr>
        <w:ind w:right="400"/>
        <w:jc w:val="both"/>
        <w:rPr>
          <w:rFonts w:hint="eastAsia" w:ascii="Times" w:hAnsi="Times" w:eastAsia="宋体"/>
          <w:b w:val="0"/>
          <w:sz w:val="20"/>
          <w:lang w:val="en-US" w:eastAsia="zh-CN"/>
        </w:rPr>
      </w:pPr>
      <w:r>
        <w:rPr>
          <w:rFonts w:hint="eastAsia" w:ascii="Times" w:hAnsi="Times" w:eastAsia="宋体"/>
          <w:b w:val="0"/>
          <w:sz w:val="20"/>
          <w:lang w:eastAsia="zh-CN"/>
        </w:rPr>
        <w:t>R4-2406617, WF on AI/ML, Qualcomm Incorporated</w:t>
      </w:r>
    </w:p>
    <w:p w14:paraId="7EB926C9">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3GPP TR 38.843, Study on Artificial Intelligence (AI)/Machine Learning (ML) for NR air interface</w:t>
      </w:r>
    </w:p>
    <w:p w14:paraId="1D8BF47E">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CCD5916">
      <w:pPr>
        <w:pStyle w:val="17"/>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R4-2501758, </w:t>
      </w:r>
      <w:r>
        <w:rPr>
          <w:rFonts w:hint="eastAsia" w:ascii="Times" w:hAnsi="Times" w:eastAsia="宋体"/>
          <w:b w:val="0"/>
          <w:sz w:val="20"/>
          <w:lang w:eastAsia="zh-CN"/>
        </w:rPr>
        <w:t>On requirements for AI/ML based positioning</w:t>
      </w:r>
      <w:r>
        <w:rPr>
          <w:rFonts w:hint="eastAsia" w:ascii="Times" w:hAnsi="Times" w:eastAsia="宋体"/>
          <w:b w:val="0"/>
          <w:sz w:val="20"/>
          <w:lang w:val="en-US" w:eastAsia="zh-CN"/>
        </w:rPr>
        <w:t>, Ericsson</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265A44"/>
    <w:multiLevelType w:val="multilevel"/>
    <w:tmpl w:val="1E265A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E98498F"/>
    <w:multiLevelType w:val="singleLevel"/>
    <w:tmpl w:val="3E98498F"/>
    <w:lvl w:ilvl="0" w:tentative="0">
      <w:start w:val="1"/>
      <w:numFmt w:val="bullet"/>
      <w:lvlText w:val=""/>
      <w:lvlJc w:val="left"/>
      <w:pPr>
        <w:ind w:left="420" w:hanging="420"/>
      </w:pPr>
      <w:rPr>
        <w:rFonts w:hint="default" w:ascii="Wingdings" w:hAnsi="Wingdings"/>
      </w:rPr>
    </w:lvl>
  </w:abstractNum>
  <w:abstractNum w:abstractNumId="6">
    <w:nsid w:val="4E850805"/>
    <w:multiLevelType w:val="multilevel"/>
    <w:tmpl w:val="4E850805"/>
    <w:lvl w:ilvl="0" w:tentative="0">
      <w:start w:val="1"/>
      <w:numFmt w:val="bullet"/>
      <w:lvlText w:val=""/>
      <w:lvlJc w:val="left"/>
      <w:pPr>
        <w:tabs>
          <w:tab w:val="left" w:pos="-360"/>
        </w:tabs>
        <w:ind w:left="360" w:hanging="360"/>
      </w:pPr>
      <w:rPr>
        <w:rFonts w:hint="default" w:ascii="Symbol" w:hAnsi="Symbol" w:cs="Symbol"/>
      </w:rPr>
    </w:lvl>
    <w:lvl w:ilvl="1" w:tentative="0">
      <w:start w:val="1"/>
      <w:numFmt w:val="bullet"/>
      <w:lvlText w:val="o"/>
      <w:lvlJc w:val="left"/>
      <w:pPr>
        <w:tabs>
          <w:tab w:val="left" w:pos="-360"/>
        </w:tabs>
        <w:ind w:left="1080" w:hanging="360"/>
      </w:pPr>
      <w:rPr>
        <w:rFonts w:hint="default"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B0C279F"/>
    <w:multiLevelType w:val="multilevel"/>
    <w:tmpl w:val="5B0C279F"/>
    <w:lvl w:ilvl="0" w:tentative="0">
      <w:start w:val="0"/>
      <w:numFmt w:val="bullet"/>
      <w:lvlText w:val="-"/>
      <w:lvlJc w:val="left"/>
      <w:pPr>
        <w:ind w:left="1413" w:hanging="42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64B37A4E"/>
    <w:multiLevelType w:val="multilevel"/>
    <w:tmpl w:val="64B37A4E"/>
    <w:lvl w:ilvl="0" w:tentative="0">
      <w:start w:val="0"/>
      <w:numFmt w:val="bullet"/>
      <w:lvlText w:val="-"/>
      <w:lvlJc w:val="left"/>
      <w:pPr>
        <w:ind w:left="2796" w:hanging="420"/>
      </w:pPr>
      <w:rPr>
        <w:rFonts w:hint="default" w:ascii="Times New Roman" w:hAnsi="Times New Roman" w:eastAsia="宋体" w:cs="Times New Roman"/>
      </w:rPr>
    </w:lvl>
    <w:lvl w:ilvl="1" w:tentative="0">
      <w:start w:val="1"/>
      <w:numFmt w:val="bullet"/>
      <w:lvlText w:val=""/>
      <w:lvlJc w:val="left"/>
      <w:pPr>
        <w:ind w:left="3216" w:hanging="420"/>
      </w:pPr>
      <w:rPr>
        <w:rFonts w:hint="default" w:ascii="Wingdings" w:hAnsi="Wingdings"/>
      </w:rPr>
    </w:lvl>
    <w:lvl w:ilvl="2" w:tentative="0">
      <w:start w:val="1"/>
      <w:numFmt w:val="bullet"/>
      <w:lvlText w:val=""/>
      <w:lvlJc w:val="left"/>
      <w:pPr>
        <w:ind w:left="3636" w:hanging="420"/>
      </w:pPr>
      <w:rPr>
        <w:rFonts w:hint="default" w:ascii="Wingdings" w:hAnsi="Wingdings"/>
      </w:rPr>
    </w:lvl>
    <w:lvl w:ilvl="3" w:tentative="0">
      <w:start w:val="1"/>
      <w:numFmt w:val="bullet"/>
      <w:lvlText w:val=""/>
      <w:lvlJc w:val="left"/>
      <w:pPr>
        <w:ind w:left="4056" w:hanging="420"/>
      </w:pPr>
      <w:rPr>
        <w:rFonts w:hint="default" w:ascii="Wingdings" w:hAnsi="Wingdings"/>
      </w:rPr>
    </w:lvl>
    <w:lvl w:ilvl="4" w:tentative="0">
      <w:start w:val="1"/>
      <w:numFmt w:val="bullet"/>
      <w:lvlText w:val=""/>
      <w:lvlJc w:val="left"/>
      <w:pPr>
        <w:ind w:left="4476" w:hanging="420"/>
      </w:pPr>
      <w:rPr>
        <w:rFonts w:hint="default" w:ascii="Wingdings" w:hAnsi="Wingdings"/>
      </w:rPr>
    </w:lvl>
    <w:lvl w:ilvl="5" w:tentative="0">
      <w:start w:val="1"/>
      <w:numFmt w:val="bullet"/>
      <w:lvlText w:val=""/>
      <w:lvlJc w:val="left"/>
      <w:pPr>
        <w:ind w:left="4896" w:hanging="420"/>
      </w:pPr>
      <w:rPr>
        <w:rFonts w:hint="default" w:ascii="Wingdings" w:hAnsi="Wingdings"/>
      </w:rPr>
    </w:lvl>
    <w:lvl w:ilvl="6" w:tentative="0">
      <w:start w:val="1"/>
      <w:numFmt w:val="bullet"/>
      <w:lvlText w:val=""/>
      <w:lvlJc w:val="left"/>
      <w:pPr>
        <w:ind w:left="5316" w:hanging="420"/>
      </w:pPr>
      <w:rPr>
        <w:rFonts w:hint="default" w:ascii="Wingdings" w:hAnsi="Wingdings"/>
      </w:rPr>
    </w:lvl>
    <w:lvl w:ilvl="7" w:tentative="0">
      <w:start w:val="1"/>
      <w:numFmt w:val="bullet"/>
      <w:lvlText w:val=""/>
      <w:lvlJc w:val="left"/>
      <w:pPr>
        <w:ind w:left="5736" w:hanging="420"/>
      </w:pPr>
      <w:rPr>
        <w:rFonts w:hint="default" w:ascii="Wingdings" w:hAnsi="Wingdings"/>
      </w:rPr>
    </w:lvl>
    <w:lvl w:ilvl="8" w:tentative="0">
      <w:start w:val="1"/>
      <w:numFmt w:val="bullet"/>
      <w:lvlText w:val=""/>
      <w:lvlJc w:val="left"/>
      <w:pPr>
        <w:ind w:left="6156" w:hanging="420"/>
      </w:pPr>
      <w:rPr>
        <w:rFonts w:hint="default" w:ascii="Wingdings" w:hAnsi="Wingdings"/>
      </w:rPr>
    </w:lvl>
  </w:abstractNum>
  <w:abstractNum w:abstractNumId="11">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4"/>
  </w:num>
  <w:num w:numId="3">
    <w:abstractNumId w:val="3"/>
  </w:num>
  <w:num w:numId="4">
    <w:abstractNumId w:val="8"/>
  </w:num>
  <w:num w:numId="5">
    <w:abstractNumId w:val="10"/>
  </w:num>
  <w:num w:numId="6">
    <w:abstractNumId w:val="6"/>
  </w:num>
  <w:num w:numId="7">
    <w:abstractNumId w:val="2"/>
  </w:num>
  <w:num w:numId="8">
    <w:abstractNumId w:val="5"/>
  </w:num>
  <w:num w:numId="9">
    <w:abstractNumId w:val="9"/>
  </w:num>
  <w:num w:numId="10">
    <w:abstractNumId w:val="1"/>
  </w:num>
  <w:num w:numId="11">
    <w:abstractNumId w:val="11"/>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6224996"/>
    <w:rsid w:val="08357123"/>
    <w:rsid w:val="08AC6809"/>
    <w:rsid w:val="0A12645E"/>
    <w:rsid w:val="0B5224A3"/>
    <w:rsid w:val="0B5B2331"/>
    <w:rsid w:val="0C7C4062"/>
    <w:rsid w:val="0EC869C6"/>
    <w:rsid w:val="0FE50EF5"/>
    <w:rsid w:val="107F695B"/>
    <w:rsid w:val="11C112E5"/>
    <w:rsid w:val="15685863"/>
    <w:rsid w:val="157E7936"/>
    <w:rsid w:val="15C5068C"/>
    <w:rsid w:val="19AD6153"/>
    <w:rsid w:val="19DE2C60"/>
    <w:rsid w:val="1A4B52AF"/>
    <w:rsid w:val="1A9853AE"/>
    <w:rsid w:val="1AE254F2"/>
    <w:rsid w:val="1B8A054A"/>
    <w:rsid w:val="1E7B3D90"/>
    <w:rsid w:val="244C222F"/>
    <w:rsid w:val="250E67D7"/>
    <w:rsid w:val="28E8012C"/>
    <w:rsid w:val="2D1359EF"/>
    <w:rsid w:val="304863A9"/>
    <w:rsid w:val="308E7578"/>
    <w:rsid w:val="333554DB"/>
    <w:rsid w:val="33BC18EF"/>
    <w:rsid w:val="35021C06"/>
    <w:rsid w:val="3647586B"/>
    <w:rsid w:val="36AC56C5"/>
    <w:rsid w:val="3A1815FF"/>
    <w:rsid w:val="3BE47C50"/>
    <w:rsid w:val="3DEF01B7"/>
    <w:rsid w:val="3E1C72D0"/>
    <w:rsid w:val="3FC16E3E"/>
    <w:rsid w:val="40360E64"/>
    <w:rsid w:val="40F55BB6"/>
    <w:rsid w:val="42426621"/>
    <w:rsid w:val="44A66B12"/>
    <w:rsid w:val="464E3068"/>
    <w:rsid w:val="499F0AD6"/>
    <w:rsid w:val="4A685401"/>
    <w:rsid w:val="4D3D03C8"/>
    <w:rsid w:val="4F2B131D"/>
    <w:rsid w:val="54465BC6"/>
    <w:rsid w:val="548173AF"/>
    <w:rsid w:val="54E439E0"/>
    <w:rsid w:val="5511121D"/>
    <w:rsid w:val="57D55747"/>
    <w:rsid w:val="5B8F5BBF"/>
    <w:rsid w:val="5C790B4E"/>
    <w:rsid w:val="5D210D3B"/>
    <w:rsid w:val="5D8142CB"/>
    <w:rsid w:val="5E3B51B9"/>
    <w:rsid w:val="60182E76"/>
    <w:rsid w:val="647D689B"/>
    <w:rsid w:val="667167B1"/>
    <w:rsid w:val="6B8310F6"/>
    <w:rsid w:val="6D205895"/>
    <w:rsid w:val="6D303931"/>
    <w:rsid w:val="6E3077EF"/>
    <w:rsid w:val="6FA06BAE"/>
    <w:rsid w:val="6FCE1A42"/>
    <w:rsid w:val="704E733C"/>
    <w:rsid w:val="72A94019"/>
    <w:rsid w:val="75886832"/>
    <w:rsid w:val="76EE202A"/>
    <w:rsid w:val="783201C2"/>
    <w:rsid w:val="7C3F4164"/>
    <w:rsid w:val="7DB5597B"/>
    <w:rsid w:val="7DF509C8"/>
    <w:rsid w:val="7E980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CMCC-RAN4#116</cp:lastModifiedBy>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